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</w:tblGrid>
      <w:tr w:rsidR="00163A8D">
        <w:trPr>
          <w:trHeight w:hRule="exact" w:val="2835"/>
        </w:trPr>
        <w:tc>
          <w:tcPr>
            <w:tcW w:w="2408" w:type="dxa"/>
            <w:tcBorders>
              <w:bottom w:val="nil"/>
            </w:tcBorders>
          </w:tcPr>
          <w:p w:rsidR="00163A8D" w:rsidRPr="00B23B9D" w:rsidRDefault="00163A8D" w:rsidP="002E6F9A">
            <w:pPr>
              <w:pStyle w:val="skakt"/>
              <w:keepNext/>
              <w:keepLines/>
              <w:framePr w:w="0" w:h="8505" w:hRule="exact" w:hSpace="142" w:wrap="around" w:vAnchor="text" w:x="8931" w:y="1"/>
              <w:jc w:val="left"/>
              <w:rPr>
                <w:rFonts w:ascii="Arial Black" w:hAnsi="Arial Black"/>
                <w:sz w:val="16"/>
              </w:rPr>
            </w:pPr>
            <w:r w:rsidRPr="00B23B9D">
              <w:rPr>
                <w:rFonts w:ascii="Arial Black" w:hAnsi="Arial Black"/>
                <w:sz w:val="16"/>
              </w:rPr>
              <w:t>Finanstilsynet</w:t>
            </w:r>
          </w:p>
          <w:p w:rsidR="005A675E" w:rsidRDefault="005A675E" w:rsidP="002E6F9A">
            <w:pPr>
              <w:pStyle w:val="skakt"/>
              <w:keepNext/>
              <w:keepLines/>
              <w:framePr w:w="0" w:h="8505" w:hRule="exact" w:hSpace="142" w:wrap="around" w:vAnchor="text" w:x="8931" w:y="1"/>
              <w:jc w:val="left"/>
              <w:rPr>
                <w:sz w:val="16"/>
              </w:rPr>
            </w:pPr>
            <w:bookmarkStart w:id="0" w:name="PCAdato"/>
            <w:bookmarkStart w:id="1" w:name="pDokDato"/>
            <w:bookmarkEnd w:id="0"/>
          </w:p>
          <w:bookmarkEnd w:id="1"/>
          <w:p w:rsidR="006C7261" w:rsidRDefault="003B3709" w:rsidP="002E6F9A">
            <w:pPr>
              <w:pStyle w:val="skakt"/>
              <w:keepNext/>
              <w:keepLines/>
              <w:framePr w:w="0" w:h="8505" w:hRule="exact" w:hSpace="142" w:wrap="around" w:vAnchor="text" w:x="8931" w:y="1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 w:rsidR="00D963D7" w:rsidRPr="00090A99">
              <w:rPr>
                <w:sz w:val="16"/>
              </w:rPr>
              <w:t>.</w:t>
            </w:r>
            <w:r w:rsidR="00D963D7">
              <w:rPr>
                <w:sz w:val="16"/>
              </w:rPr>
              <w:t xml:space="preserve"> januar 2017</w:t>
            </w:r>
          </w:p>
          <w:p w:rsidR="00163A8D" w:rsidRDefault="00163A8D" w:rsidP="002E6F9A">
            <w:pPr>
              <w:pStyle w:val="skakt"/>
              <w:keepNext/>
              <w:keepLines/>
              <w:framePr w:w="0" w:h="8505" w:hRule="exact" w:hSpace="142" w:wrap="around" w:vAnchor="text" w:x="8931" w:y="1"/>
              <w:jc w:val="left"/>
              <w:rPr>
                <w:sz w:val="16"/>
              </w:rPr>
            </w:pPr>
            <w:bookmarkStart w:id="2" w:name="Kontor"/>
            <w:bookmarkEnd w:id="2"/>
          </w:p>
          <w:p w:rsidR="00163A8D" w:rsidRDefault="00163A8D" w:rsidP="002E6F9A">
            <w:pPr>
              <w:pStyle w:val="skakt"/>
              <w:keepNext/>
              <w:keepLines/>
              <w:framePr w:w="0" w:h="8505" w:hRule="exact" w:hSpace="142" w:wrap="around" w:vAnchor="text" w:x="8931" w:y="1"/>
              <w:jc w:val="left"/>
              <w:rPr>
                <w:sz w:val="16"/>
              </w:rPr>
            </w:pPr>
            <w:bookmarkStart w:id="3" w:name="PCASag"/>
            <w:bookmarkEnd w:id="3"/>
          </w:p>
          <w:p w:rsidR="00C5465E" w:rsidRDefault="00C5465E" w:rsidP="002E6F9A">
            <w:pPr>
              <w:pStyle w:val="skakt"/>
              <w:keepNext/>
              <w:keepLines/>
              <w:framePr w:w="0" w:h="8505" w:hRule="exact" w:hSpace="142" w:wrap="around" w:vAnchor="text" w:x="8931" w:y="1"/>
              <w:jc w:val="left"/>
              <w:rPr>
                <w:sz w:val="16"/>
              </w:rPr>
            </w:pPr>
          </w:p>
          <w:p w:rsidR="00163A8D" w:rsidRDefault="00163A8D">
            <w:pPr>
              <w:pStyle w:val="skakt"/>
              <w:keepNext/>
              <w:keepLines/>
              <w:framePr w:w="0" w:h="8505" w:hRule="exact" w:hSpace="142" w:wrap="around" w:vAnchor="text" w:x="8931" w:y="1"/>
            </w:pPr>
          </w:p>
        </w:tc>
      </w:tr>
    </w:tbl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8"/>
      </w:tblGrid>
      <w:tr w:rsidR="00163A8D">
        <w:trPr>
          <w:cantSplit/>
          <w:trHeight w:val="2040"/>
        </w:trPr>
        <w:tc>
          <w:tcPr>
            <w:tcW w:w="7258" w:type="dxa"/>
          </w:tcPr>
          <w:p w:rsidR="00163A8D" w:rsidRDefault="00163A8D">
            <w:bookmarkStart w:id="4" w:name="PCAmodtager"/>
            <w:bookmarkStart w:id="5" w:name="_GoBack"/>
            <w:bookmarkEnd w:id="4"/>
            <w:bookmarkEnd w:id="5"/>
          </w:p>
          <w:p w:rsidR="00163A8D" w:rsidRDefault="00163A8D"/>
          <w:p w:rsidR="00163A8D" w:rsidRDefault="00163A8D"/>
          <w:p w:rsidR="00163A8D" w:rsidRDefault="00163A8D"/>
          <w:p w:rsidR="00B64984" w:rsidRPr="00312C54" w:rsidRDefault="00B64984" w:rsidP="00B64984">
            <w:pPr>
              <w:rPr>
                <w:b/>
                <w:sz w:val="28"/>
                <w:szCs w:val="28"/>
              </w:rPr>
            </w:pPr>
          </w:p>
          <w:p w:rsidR="00163A8D" w:rsidRDefault="00163A8D"/>
        </w:tc>
      </w:tr>
    </w:tbl>
    <w:p w:rsidR="00163A8D" w:rsidRDefault="00163A8D" w:rsidP="00CF4780">
      <w:pPr>
        <w:pStyle w:val="Brdtekst"/>
      </w:pPr>
    </w:p>
    <w:p w:rsidR="00163A8D" w:rsidRPr="00CF4780" w:rsidRDefault="000961B1" w:rsidP="00907B69">
      <w:pPr>
        <w:pStyle w:val="Overskrift1"/>
      </w:pPr>
      <w:bookmarkStart w:id="6" w:name="PCAoverskrift"/>
      <w:bookmarkEnd w:id="6"/>
      <w:r>
        <w:t>Nordea Kredit Realkreditaktieselskab</w:t>
      </w:r>
      <w:r w:rsidR="009913A2">
        <w:t xml:space="preserve"> </w:t>
      </w:r>
      <w:r w:rsidR="00A64D6C">
        <w:t>som systemisk vigtigt finansielt institut (SIFI)</w:t>
      </w:r>
    </w:p>
    <w:p w:rsidR="00BF1DFF" w:rsidRDefault="00BF1DFF" w:rsidP="00BF1DFF">
      <w:bookmarkStart w:id="7" w:name="PCAStart"/>
      <w:bookmarkEnd w:id="7"/>
    </w:p>
    <w:p w:rsidR="00376801" w:rsidRDefault="003B3709" w:rsidP="00BF1DFF">
      <w:r>
        <w:t>I</w:t>
      </w:r>
      <w:r>
        <w:t xml:space="preserve"> medfør af § 308 i lov om finansiel virksomhed</w:t>
      </w:r>
      <w:r>
        <w:t xml:space="preserve"> </w:t>
      </w:r>
      <w:r>
        <w:t>har</w:t>
      </w:r>
      <w:r>
        <w:t xml:space="preserve"> </w:t>
      </w:r>
      <w:r w:rsidR="00A34A5A">
        <w:t>Finanstilsynet udpeget Nordea Kredit Realkreditaktieselskab som systemisk vigtigt finansielt</w:t>
      </w:r>
      <w:r w:rsidR="005A0B3D">
        <w:t xml:space="preserve"> institut (SIFI) i Danmark</w:t>
      </w:r>
      <w:r w:rsidR="00A34A5A">
        <w:t>.</w:t>
      </w:r>
      <w:r w:rsidR="00BA155F">
        <w:t xml:space="preserve"> Det skyldes, at</w:t>
      </w:r>
      <w:r w:rsidR="00BA155F" w:rsidRPr="009913A2">
        <w:t xml:space="preserve"> </w:t>
      </w:r>
      <w:r w:rsidR="00BA155F">
        <w:t>Nordea Kredit Realkreditaktieselskab ligger over grænseværdierne for to af indikatorerne for at blive udpeget som SIFI i Dan</w:t>
      </w:r>
      <w:r w:rsidR="000C25FB">
        <w:t>mark i to</w:t>
      </w:r>
      <w:r w:rsidR="00BA155F">
        <w:t xml:space="preserve"> på hinanden følgende år</w:t>
      </w:r>
      <w:r>
        <w:t>:</w:t>
      </w:r>
    </w:p>
    <w:p w:rsidR="00BF1DFF" w:rsidRDefault="00BF1DFF" w:rsidP="00BF1DFF">
      <w:pPr>
        <w:rPr>
          <w:rFonts w:ascii="Constantia" w:hAnsi="Constantia"/>
          <w:b/>
          <w:sz w:val="22"/>
        </w:rPr>
      </w:pPr>
    </w:p>
    <w:p w:rsidR="00BF1DFF" w:rsidRPr="00BC2038" w:rsidRDefault="00BF1DFF" w:rsidP="00BF1DFF">
      <w:pPr>
        <w:rPr>
          <w:rFonts w:ascii="Constantia" w:hAnsi="Constantia"/>
          <w:b/>
          <w:sz w:val="22"/>
        </w:rPr>
      </w:pPr>
      <w:r>
        <w:rPr>
          <w:rFonts w:ascii="Constantia" w:hAnsi="Constantia"/>
          <w:b/>
          <w:sz w:val="22"/>
        </w:rPr>
        <w:t>Indikatorer</w:t>
      </w:r>
    </w:p>
    <w:tbl>
      <w:tblPr>
        <w:tblStyle w:val="Tabel-Gitter"/>
        <w:tblW w:w="0" w:type="auto"/>
        <w:tblInd w:w="108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CellMar>
          <w:top w:w="57" w:type="dxa"/>
          <w:bottom w:w="57" w:type="dxa"/>
          <w:right w:w="284" w:type="dxa"/>
        </w:tblCellMar>
        <w:tblLook w:val="04A0" w:firstRow="1" w:lastRow="0" w:firstColumn="1" w:lastColumn="0" w:noHBand="0" w:noVBand="1"/>
      </w:tblPr>
      <w:tblGrid>
        <w:gridCol w:w="3478"/>
        <w:gridCol w:w="407"/>
        <w:gridCol w:w="918"/>
        <w:gridCol w:w="985"/>
        <w:gridCol w:w="1218"/>
      </w:tblGrid>
      <w:tr w:rsidR="00D10F7C" w:rsidTr="00D963D7">
        <w:tc>
          <w:tcPr>
            <w:tcW w:w="3814" w:type="dxa"/>
            <w:tcBorders>
              <w:bottom w:val="single" w:sz="8" w:space="0" w:color="808080" w:themeColor="background1" w:themeShade="80"/>
            </w:tcBorders>
          </w:tcPr>
          <w:p w:rsidR="00D10F7C" w:rsidRPr="00493F9A" w:rsidRDefault="00D10F7C" w:rsidP="005E282B">
            <w:pPr>
              <w:jc w:val="left"/>
              <w:rPr>
                <w:i/>
                <w:sz w:val="20"/>
              </w:rPr>
            </w:pPr>
          </w:p>
        </w:tc>
        <w:tc>
          <w:tcPr>
            <w:tcW w:w="408" w:type="dxa"/>
            <w:tcBorders>
              <w:bottom w:val="single" w:sz="8" w:space="0" w:color="808080" w:themeColor="background1" w:themeShade="80"/>
            </w:tcBorders>
          </w:tcPr>
          <w:p w:rsidR="00D10F7C" w:rsidRPr="00BC2038" w:rsidRDefault="00D10F7C" w:rsidP="005E282B">
            <w:pPr>
              <w:jc w:val="center"/>
              <w:rPr>
                <w:i/>
              </w:rPr>
            </w:pPr>
          </w:p>
        </w:tc>
        <w:tc>
          <w:tcPr>
            <w:tcW w:w="926" w:type="dxa"/>
            <w:tcBorders>
              <w:bottom w:val="single" w:sz="8" w:space="0" w:color="808080" w:themeColor="background1" w:themeShade="80"/>
            </w:tcBorders>
            <w:shd w:val="clear" w:color="auto" w:fill="auto"/>
          </w:tcPr>
          <w:p w:rsidR="00D10F7C" w:rsidRPr="00D963D7" w:rsidRDefault="00D10F7C" w:rsidP="00AD51E1">
            <w:pPr>
              <w:jc w:val="center"/>
              <w:rPr>
                <w:i/>
              </w:rPr>
            </w:pPr>
            <w:r w:rsidRPr="00D963D7">
              <w:rPr>
                <w:i/>
              </w:rPr>
              <w:t>2015</w:t>
            </w:r>
          </w:p>
        </w:tc>
        <w:tc>
          <w:tcPr>
            <w:tcW w:w="1002" w:type="dxa"/>
            <w:tcBorders>
              <w:bottom w:val="single" w:sz="8" w:space="0" w:color="808080" w:themeColor="background1" w:themeShade="80"/>
            </w:tcBorders>
            <w:shd w:val="clear" w:color="auto" w:fill="auto"/>
          </w:tcPr>
          <w:p w:rsidR="00D10F7C" w:rsidRPr="00D963D7" w:rsidRDefault="00D10F7C" w:rsidP="005E282B">
            <w:pPr>
              <w:jc w:val="center"/>
              <w:rPr>
                <w:i/>
              </w:rPr>
            </w:pPr>
            <w:r w:rsidRPr="00D963D7">
              <w:rPr>
                <w:i/>
              </w:rPr>
              <w:t>2014</w:t>
            </w:r>
          </w:p>
        </w:tc>
        <w:tc>
          <w:tcPr>
            <w:tcW w:w="1248" w:type="dxa"/>
            <w:tcBorders>
              <w:bottom w:val="single" w:sz="8" w:space="0" w:color="808080" w:themeColor="background1" w:themeShade="80"/>
            </w:tcBorders>
            <w:shd w:val="clear" w:color="auto" w:fill="F0E1CD"/>
          </w:tcPr>
          <w:p w:rsidR="00D10F7C" w:rsidRPr="00BC2038" w:rsidRDefault="00931250" w:rsidP="005E282B">
            <w:pPr>
              <w:jc w:val="center"/>
              <w:rPr>
                <w:i/>
              </w:rPr>
            </w:pPr>
            <w:r>
              <w:rPr>
                <w:i/>
              </w:rPr>
              <w:t>Græn</w:t>
            </w:r>
            <w:r w:rsidR="00D10F7C">
              <w:rPr>
                <w:i/>
              </w:rPr>
              <w:t>ser</w:t>
            </w:r>
          </w:p>
        </w:tc>
      </w:tr>
      <w:tr w:rsidR="00D10F7C" w:rsidTr="00D10F7C">
        <w:trPr>
          <w:trHeight w:val="136"/>
        </w:trPr>
        <w:tc>
          <w:tcPr>
            <w:tcW w:w="3814" w:type="dxa"/>
            <w:tcBorders>
              <w:top w:val="single" w:sz="8" w:space="0" w:color="808080" w:themeColor="background1" w:themeShade="80"/>
            </w:tcBorders>
          </w:tcPr>
          <w:p w:rsidR="00D10F7C" w:rsidRPr="00493F9A" w:rsidRDefault="00D10F7C" w:rsidP="005E282B">
            <w:pPr>
              <w:rPr>
                <w:sz w:val="20"/>
              </w:rPr>
            </w:pPr>
            <w:r w:rsidRPr="00493F9A">
              <w:rPr>
                <w:sz w:val="20"/>
              </w:rPr>
              <w:t>Instituttets balance i pct. af BNP</w:t>
            </w:r>
          </w:p>
        </w:tc>
        <w:tc>
          <w:tcPr>
            <w:tcW w:w="408" w:type="dxa"/>
            <w:tcBorders>
              <w:top w:val="single" w:sz="8" w:space="0" w:color="808080" w:themeColor="background1" w:themeShade="80"/>
            </w:tcBorders>
          </w:tcPr>
          <w:p w:rsidR="00D10F7C" w:rsidRPr="00493F9A" w:rsidRDefault="00D10F7C" w:rsidP="005E282B">
            <w:pPr>
              <w:jc w:val="right"/>
              <w:rPr>
                <w:sz w:val="20"/>
              </w:rPr>
            </w:pPr>
          </w:p>
        </w:tc>
        <w:tc>
          <w:tcPr>
            <w:tcW w:w="926" w:type="dxa"/>
            <w:tcBorders>
              <w:top w:val="single" w:sz="8" w:space="0" w:color="808080" w:themeColor="background1" w:themeShade="80"/>
            </w:tcBorders>
            <w:vAlign w:val="center"/>
          </w:tcPr>
          <w:p w:rsidR="00D10F7C" w:rsidRPr="00D963D7" w:rsidRDefault="00D963D7" w:rsidP="009913A2">
            <w:pPr>
              <w:jc w:val="right"/>
            </w:pPr>
            <w:r w:rsidRPr="00D963D7">
              <w:t>21,6</w:t>
            </w:r>
          </w:p>
        </w:tc>
        <w:tc>
          <w:tcPr>
            <w:tcW w:w="1002" w:type="dxa"/>
            <w:tcBorders>
              <w:top w:val="single" w:sz="8" w:space="0" w:color="808080" w:themeColor="background1" w:themeShade="80"/>
            </w:tcBorders>
            <w:shd w:val="clear" w:color="auto" w:fill="auto"/>
          </w:tcPr>
          <w:p w:rsidR="00D10F7C" w:rsidRPr="00D963D7" w:rsidRDefault="00D963D7" w:rsidP="005E282B">
            <w:pPr>
              <w:jc w:val="right"/>
              <w:rPr>
                <w:sz w:val="20"/>
              </w:rPr>
            </w:pPr>
            <w:r w:rsidRPr="00D963D7">
              <w:rPr>
                <w:sz w:val="20"/>
              </w:rPr>
              <w:t>22,9</w:t>
            </w:r>
          </w:p>
        </w:tc>
        <w:tc>
          <w:tcPr>
            <w:tcW w:w="1248" w:type="dxa"/>
            <w:tcBorders>
              <w:top w:val="single" w:sz="8" w:space="0" w:color="808080" w:themeColor="background1" w:themeShade="80"/>
            </w:tcBorders>
            <w:shd w:val="clear" w:color="auto" w:fill="F0E1CD"/>
            <w:vAlign w:val="center"/>
          </w:tcPr>
          <w:p w:rsidR="00D10F7C" w:rsidRPr="001F284E" w:rsidRDefault="00D10F7C" w:rsidP="005E282B">
            <w:pPr>
              <w:jc w:val="right"/>
              <w:rPr>
                <w:sz w:val="20"/>
              </w:rPr>
            </w:pPr>
            <w:r w:rsidRPr="001F284E">
              <w:rPr>
                <w:sz w:val="20"/>
              </w:rPr>
              <w:t>&gt; 6,5</w:t>
            </w:r>
          </w:p>
        </w:tc>
      </w:tr>
      <w:tr w:rsidR="00D10F7C" w:rsidTr="00D10F7C">
        <w:trPr>
          <w:trHeight w:val="204"/>
        </w:trPr>
        <w:tc>
          <w:tcPr>
            <w:tcW w:w="3814" w:type="dxa"/>
          </w:tcPr>
          <w:p w:rsidR="00D10F7C" w:rsidRPr="00493F9A" w:rsidRDefault="00D10F7C" w:rsidP="005E282B">
            <w:pPr>
              <w:rPr>
                <w:sz w:val="20"/>
              </w:rPr>
            </w:pPr>
            <w:r w:rsidRPr="00493F9A">
              <w:rPr>
                <w:sz w:val="20"/>
              </w:rPr>
              <w:t>Instituttets udlån i Danmark i pct. af danske penge- og realkreditinstitutters samlede udlån i Danmark</w:t>
            </w:r>
          </w:p>
        </w:tc>
        <w:tc>
          <w:tcPr>
            <w:tcW w:w="408" w:type="dxa"/>
          </w:tcPr>
          <w:p w:rsidR="00D10F7C" w:rsidRPr="00493F9A" w:rsidRDefault="00D10F7C" w:rsidP="005E282B">
            <w:pPr>
              <w:jc w:val="right"/>
              <w:rPr>
                <w:sz w:val="20"/>
              </w:rPr>
            </w:pPr>
          </w:p>
        </w:tc>
        <w:tc>
          <w:tcPr>
            <w:tcW w:w="926" w:type="dxa"/>
            <w:vAlign w:val="center"/>
          </w:tcPr>
          <w:p w:rsidR="00D10F7C" w:rsidRPr="00D963D7" w:rsidRDefault="00D963D7" w:rsidP="0095290F">
            <w:pPr>
              <w:jc w:val="right"/>
            </w:pPr>
            <w:r w:rsidRPr="00D963D7">
              <w:t>10,8</w:t>
            </w:r>
          </w:p>
        </w:tc>
        <w:tc>
          <w:tcPr>
            <w:tcW w:w="1002" w:type="dxa"/>
            <w:shd w:val="clear" w:color="auto" w:fill="auto"/>
          </w:tcPr>
          <w:p w:rsidR="00D10F7C" w:rsidRPr="00D963D7" w:rsidRDefault="00D10F7C" w:rsidP="005E282B">
            <w:pPr>
              <w:jc w:val="right"/>
              <w:rPr>
                <w:sz w:val="20"/>
              </w:rPr>
            </w:pPr>
          </w:p>
          <w:p w:rsidR="00D10F7C" w:rsidRPr="00D963D7" w:rsidRDefault="00D963D7" w:rsidP="005E282B">
            <w:pPr>
              <w:jc w:val="right"/>
              <w:rPr>
                <w:sz w:val="20"/>
              </w:rPr>
            </w:pPr>
            <w:r w:rsidRPr="00D963D7">
              <w:rPr>
                <w:sz w:val="20"/>
              </w:rPr>
              <w:t>10,7</w:t>
            </w:r>
          </w:p>
        </w:tc>
        <w:tc>
          <w:tcPr>
            <w:tcW w:w="1248" w:type="dxa"/>
            <w:shd w:val="clear" w:color="auto" w:fill="F0E1CD"/>
            <w:vAlign w:val="center"/>
          </w:tcPr>
          <w:p w:rsidR="00D10F7C" w:rsidRPr="001F284E" w:rsidRDefault="00D10F7C" w:rsidP="005E282B">
            <w:pPr>
              <w:jc w:val="right"/>
              <w:rPr>
                <w:sz w:val="20"/>
              </w:rPr>
            </w:pPr>
            <w:r w:rsidRPr="001F284E">
              <w:rPr>
                <w:sz w:val="20"/>
              </w:rPr>
              <w:t xml:space="preserve">&gt; 5,0 </w:t>
            </w:r>
          </w:p>
        </w:tc>
      </w:tr>
      <w:tr w:rsidR="00D10F7C" w:rsidTr="00D10F7C">
        <w:tc>
          <w:tcPr>
            <w:tcW w:w="3814" w:type="dxa"/>
          </w:tcPr>
          <w:p w:rsidR="00D10F7C" w:rsidRPr="00493F9A" w:rsidRDefault="00D10F7C" w:rsidP="005E282B">
            <w:pPr>
              <w:rPr>
                <w:sz w:val="20"/>
              </w:rPr>
            </w:pPr>
            <w:r w:rsidRPr="00493F9A">
              <w:rPr>
                <w:sz w:val="20"/>
              </w:rPr>
              <w:t>Instituttets indlån i Danmark i pct. af de danske pengeinstitutters samlede indlån i Danmark</w:t>
            </w:r>
          </w:p>
        </w:tc>
        <w:tc>
          <w:tcPr>
            <w:tcW w:w="408" w:type="dxa"/>
          </w:tcPr>
          <w:p w:rsidR="00D10F7C" w:rsidRPr="00493F9A" w:rsidRDefault="00D10F7C" w:rsidP="005E282B">
            <w:pPr>
              <w:jc w:val="right"/>
              <w:rPr>
                <w:sz w:val="20"/>
              </w:rPr>
            </w:pPr>
          </w:p>
        </w:tc>
        <w:tc>
          <w:tcPr>
            <w:tcW w:w="926" w:type="dxa"/>
            <w:vAlign w:val="center"/>
          </w:tcPr>
          <w:p w:rsidR="00D10F7C" w:rsidRPr="00D963D7" w:rsidRDefault="00D963D7" w:rsidP="00CF50F9">
            <w:pPr>
              <w:jc w:val="right"/>
            </w:pPr>
            <w:r w:rsidRPr="00D963D7">
              <w:t>0,0</w:t>
            </w:r>
          </w:p>
        </w:tc>
        <w:tc>
          <w:tcPr>
            <w:tcW w:w="1002" w:type="dxa"/>
            <w:shd w:val="clear" w:color="auto" w:fill="auto"/>
          </w:tcPr>
          <w:p w:rsidR="00D10F7C" w:rsidRPr="00D963D7" w:rsidRDefault="00D10F7C" w:rsidP="005E282B">
            <w:pPr>
              <w:jc w:val="right"/>
              <w:rPr>
                <w:sz w:val="20"/>
              </w:rPr>
            </w:pPr>
          </w:p>
          <w:p w:rsidR="00D10F7C" w:rsidRPr="00D963D7" w:rsidRDefault="00D963D7" w:rsidP="005E282B">
            <w:pPr>
              <w:jc w:val="right"/>
              <w:rPr>
                <w:sz w:val="20"/>
              </w:rPr>
            </w:pPr>
            <w:r w:rsidRPr="00D963D7">
              <w:rPr>
                <w:sz w:val="20"/>
              </w:rPr>
              <w:t>0,0</w:t>
            </w:r>
          </w:p>
        </w:tc>
        <w:tc>
          <w:tcPr>
            <w:tcW w:w="1248" w:type="dxa"/>
            <w:shd w:val="clear" w:color="auto" w:fill="F0E1CD"/>
            <w:vAlign w:val="center"/>
          </w:tcPr>
          <w:p w:rsidR="00D10F7C" w:rsidRPr="001F284E" w:rsidRDefault="00D10F7C" w:rsidP="005E282B">
            <w:pPr>
              <w:jc w:val="right"/>
              <w:rPr>
                <w:sz w:val="20"/>
              </w:rPr>
            </w:pPr>
            <w:r w:rsidRPr="001F284E">
              <w:rPr>
                <w:sz w:val="20"/>
              </w:rPr>
              <w:t>&gt; 5,0</w:t>
            </w:r>
          </w:p>
        </w:tc>
      </w:tr>
    </w:tbl>
    <w:p w:rsidR="00BF1DFF" w:rsidRDefault="00BF1DFF" w:rsidP="00BF1DFF"/>
    <w:p w:rsidR="003B3709" w:rsidRDefault="003B3709" w:rsidP="003B3709">
      <w:r>
        <w:t xml:space="preserve">Nordea Kredit Realkreditaktieselskab skal bl.a. opfylde et kapitalkrav i form af et SIFI-bufferkrav, der reflekterer instituttets systemiske vigtighed (systemiskhed), </w:t>
      </w:r>
      <w:r w:rsidRPr="00634580">
        <w:t>jf.</w:t>
      </w:r>
      <w:r>
        <w:t xml:space="preserve"> § 308, stk. 7, og § 125 h, i lov om finansiel virksomhed. SIFI-bufferkravet skal opfyldes med egentlig kernekapital (CET1). Kravet indfases gradvist i perioden 2017-2019. </w:t>
      </w:r>
    </w:p>
    <w:p w:rsidR="003B3709" w:rsidRDefault="003B3709" w:rsidP="003B3709"/>
    <w:p w:rsidR="003B3709" w:rsidRDefault="003B3709" w:rsidP="003B3709">
      <w:r>
        <w:t xml:space="preserve">Det er erhvervsministeren, der fastsætter SIFI-bufferkravene inden for rammen af den systemiske buffer, jf. § 125 h, jf. § 125 a, stk. 6, i lov om finansiel virksomhed. </w:t>
      </w:r>
    </w:p>
    <w:p w:rsidR="003B3709" w:rsidRDefault="003B3709" w:rsidP="0012663B"/>
    <w:p w:rsidR="00BC55AB" w:rsidRPr="00931250" w:rsidRDefault="0012663B" w:rsidP="0012663B">
      <w:r>
        <w:t xml:space="preserve">Finanstilsynet </w:t>
      </w:r>
      <w:r w:rsidR="00376801">
        <w:t xml:space="preserve">har opgjort </w:t>
      </w:r>
      <w:r w:rsidR="00041591">
        <w:t>Nordea Kredit Realkreditaktieselskabs</w:t>
      </w:r>
      <w:r w:rsidR="009913A2">
        <w:t xml:space="preserve"> </w:t>
      </w:r>
      <w:r>
        <w:t xml:space="preserve">systemiske vigtighed (systemiskhed) til </w:t>
      </w:r>
      <w:r w:rsidR="00041591" w:rsidRPr="00D963D7">
        <w:t>6,0</w:t>
      </w:r>
      <w:r>
        <w:t xml:space="preserve">, jf. § 308, stk. 6, i lov om finansiel virksomhed. </w:t>
      </w:r>
      <w:r w:rsidRPr="001C0B15">
        <w:t>Systemiskheden er beregnet som et gennemsnit af</w:t>
      </w:r>
      <w:r>
        <w:t xml:space="preserve"> nedenstående faktorer, jf. § 308, stk. 6, i lov om finansiel virksomhed. </w:t>
      </w:r>
      <w:r w:rsidR="00376801">
        <w:t>To</w:t>
      </w:r>
      <w:r>
        <w:t xml:space="preserve"> af faktorerne er de </w:t>
      </w:r>
      <w:r w:rsidR="003B3709">
        <w:t>samme som indikatorerne ovenfor:</w:t>
      </w:r>
    </w:p>
    <w:p w:rsidR="0012663B" w:rsidRPr="001C0B15" w:rsidRDefault="0012663B" w:rsidP="0012663B">
      <w:pPr>
        <w:rPr>
          <w:rFonts w:ascii="Constantia" w:hAnsi="Constantia"/>
          <w:b/>
          <w:sz w:val="22"/>
        </w:rPr>
      </w:pPr>
      <w:r>
        <w:rPr>
          <w:rFonts w:ascii="Constantia" w:hAnsi="Constantia"/>
          <w:b/>
          <w:sz w:val="22"/>
        </w:rPr>
        <w:lastRenderedPageBreak/>
        <w:t>Faktorer og systemiskhed</w:t>
      </w:r>
    </w:p>
    <w:tbl>
      <w:tblPr>
        <w:tblStyle w:val="Tabel-Gitter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CellMar>
          <w:top w:w="57" w:type="dxa"/>
          <w:bottom w:w="57" w:type="dxa"/>
          <w:right w:w="284" w:type="dxa"/>
        </w:tblCellMar>
        <w:tblLook w:val="04A0" w:firstRow="1" w:lastRow="0" w:firstColumn="1" w:lastColumn="0" w:noHBand="0" w:noVBand="1"/>
      </w:tblPr>
      <w:tblGrid>
        <w:gridCol w:w="4405"/>
        <w:gridCol w:w="503"/>
        <w:gridCol w:w="2206"/>
      </w:tblGrid>
      <w:tr w:rsidR="0012663B" w:rsidTr="0012663B">
        <w:tc>
          <w:tcPr>
            <w:tcW w:w="4562" w:type="dxa"/>
            <w:tcBorders>
              <w:bottom w:val="single" w:sz="8" w:space="0" w:color="808080" w:themeColor="background1" w:themeShade="80"/>
            </w:tcBorders>
          </w:tcPr>
          <w:p w:rsidR="0012663B" w:rsidRPr="00493F9A" w:rsidRDefault="0012663B" w:rsidP="0026170B">
            <w:pPr>
              <w:jc w:val="left"/>
              <w:rPr>
                <w:i/>
                <w:sz w:val="20"/>
              </w:rPr>
            </w:pPr>
          </w:p>
        </w:tc>
        <w:tc>
          <w:tcPr>
            <w:tcW w:w="508" w:type="dxa"/>
            <w:tcBorders>
              <w:bottom w:val="single" w:sz="8" w:space="0" w:color="808080" w:themeColor="background1" w:themeShade="80"/>
            </w:tcBorders>
          </w:tcPr>
          <w:p w:rsidR="0012663B" w:rsidRPr="00BC2038" w:rsidRDefault="0012663B" w:rsidP="0026170B">
            <w:pPr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bottom w:val="single" w:sz="8" w:space="0" w:color="808080" w:themeColor="background1" w:themeShade="80"/>
            </w:tcBorders>
          </w:tcPr>
          <w:p w:rsidR="0012663B" w:rsidRPr="00BC2038" w:rsidRDefault="0012663B" w:rsidP="0012663B">
            <w:pPr>
              <w:jc w:val="right"/>
              <w:rPr>
                <w:i/>
              </w:rPr>
            </w:pPr>
            <w:r>
              <w:rPr>
                <w:i/>
              </w:rPr>
              <w:t xml:space="preserve"> </w:t>
            </w:r>
            <w:r w:rsidRPr="00BC2038">
              <w:rPr>
                <w:i/>
              </w:rPr>
              <w:t>201</w:t>
            </w:r>
            <w:r w:rsidR="00700843">
              <w:rPr>
                <w:i/>
              </w:rPr>
              <w:t>5</w:t>
            </w:r>
          </w:p>
        </w:tc>
      </w:tr>
      <w:tr w:rsidR="0012663B" w:rsidTr="0012663B">
        <w:trPr>
          <w:trHeight w:val="136"/>
        </w:trPr>
        <w:tc>
          <w:tcPr>
            <w:tcW w:w="4562" w:type="dxa"/>
            <w:tcBorders>
              <w:top w:val="single" w:sz="8" w:space="0" w:color="808080" w:themeColor="background1" w:themeShade="80"/>
            </w:tcBorders>
          </w:tcPr>
          <w:p w:rsidR="0012663B" w:rsidRPr="00493F9A" w:rsidRDefault="0012663B" w:rsidP="0026170B">
            <w:pPr>
              <w:rPr>
                <w:sz w:val="20"/>
              </w:rPr>
            </w:pPr>
            <w:r w:rsidRPr="00493F9A">
              <w:rPr>
                <w:sz w:val="20"/>
              </w:rPr>
              <w:t xml:space="preserve">Instituttets balance i pct. </w:t>
            </w:r>
            <w:r w:rsidRPr="001C0B15">
              <w:rPr>
                <w:sz w:val="20"/>
              </w:rPr>
              <w:t>af de danske penge- og realkreditinstitutters og fondsmæglerselskaber I’s samlede balance</w:t>
            </w:r>
          </w:p>
        </w:tc>
        <w:tc>
          <w:tcPr>
            <w:tcW w:w="508" w:type="dxa"/>
            <w:tcBorders>
              <w:top w:val="single" w:sz="8" w:space="0" w:color="808080" w:themeColor="background1" w:themeShade="80"/>
            </w:tcBorders>
          </w:tcPr>
          <w:p w:rsidR="0012663B" w:rsidRPr="00493F9A" w:rsidRDefault="0012663B" w:rsidP="0026170B">
            <w:pPr>
              <w:jc w:val="right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808080" w:themeColor="background1" w:themeShade="80"/>
            </w:tcBorders>
            <w:vAlign w:val="center"/>
          </w:tcPr>
          <w:p w:rsidR="0012663B" w:rsidRPr="000C25FB" w:rsidRDefault="000C25FB" w:rsidP="0026170B">
            <w:pPr>
              <w:jc w:val="right"/>
              <w:rPr>
                <w:sz w:val="20"/>
              </w:rPr>
            </w:pPr>
            <w:r w:rsidRPr="000C25FB">
              <w:rPr>
                <w:sz w:val="20"/>
              </w:rPr>
              <w:t>7,1</w:t>
            </w:r>
          </w:p>
        </w:tc>
      </w:tr>
      <w:tr w:rsidR="0012663B" w:rsidTr="0012663B">
        <w:trPr>
          <w:trHeight w:val="204"/>
        </w:trPr>
        <w:tc>
          <w:tcPr>
            <w:tcW w:w="4562" w:type="dxa"/>
          </w:tcPr>
          <w:p w:rsidR="0012663B" w:rsidRPr="00493F9A" w:rsidRDefault="0012663B" w:rsidP="0026170B">
            <w:pPr>
              <w:rPr>
                <w:sz w:val="20"/>
              </w:rPr>
            </w:pPr>
            <w:r w:rsidRPr="00493F9A">
              <w:rPr>
                <w:sz w:val="20"/>
              </w:rPr>
              <w:t>Instituttets udlån i Danmark i pct. af danske penge- og realkreditinstitutters samlede udlån i Danmark</w:t>
            </w:r>
          </w:p>
        </w:tc>
        <w:tc>
          <w:tcPr>
            <w:tcW w:w="508" w:type="dxa"/>
          </w:tcPr>
          <w:p w:rsidR="0012663B" w:rsidRPr="00493F9A" w:rsidRDefault="0012663B" w:rsidP="0026170B">
            <w:pPr>
              <w:jc w:val="right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:rsidR="0012663B" w:rsidRPr="000C25FB" w:rsidRDefault="000C25FB" w:rsidP="0095290F">
            <w:pPr>
              <w:jc w:val="right"/>
              <w:rPr>
                <w:sz w:val="20"/>
              </w:rPr>
            </w:pPr>
            <w:r w:rsidRPr="000C25FB">
              <w:rPr>
                <w:sz w:val="20"/>
              </w:rPr>
              <w:t>10,8</w:t>
            </w:r>
          </w:p>
        </w:tc>
      </w:tr>
      <w:tr w:rsidR="0012663B" w:rsidTr="0012663B">
        <w:tc>
          <w:tcPr>
            <w:tcW w:w="4562" w:type="dxa"/>
          </w:tcPr>
          <w:p w:rsidR="0012663B" w:rsidRPr="00493F9A" w:rsidRDefault="0012663B" w:rsidP="0026170B">
            <w:pPr>
              <w:rPr>
                <w:sz w:val="20"/>
              </w:rPr>
            </w:pPr>
            <w:r w:rsidRPr="00493F9A">
              <w:rPr>
                <w:sz w:val="20"/>
              </w:rPr>
              <w:t>Instituttets indlån i Danmark i pct. af de danske pengein</w:t>
            </w:r>
            <w:r>
              <w:rPr>
                <w:sz w:val="20"/>
              </w:rPr>
              <w:t>sti</w:t>
            </w:r>
            <w:r w:rsidRPr="00493F9A">
              <w:rPr>
                <w:sz w:val="20"/>
              </w:rPr>
              <w:t>tutters samlede indlån i Danmark</w:t>
            </w:r>
          </w:p>
        </w:tc>
        <w:tc>
          <w:tcPr>
            <w:tcW w:w="508" w:type="dxa"/>
          </w:tcPr>
          <w:p w:rsidR="0012663B" w:rsidRPr="00493F9A" w:rsidRDefault="0012663B" w:rsidP="0026170B">
            <w:pPr>
              <w:jc w:val="right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:rsidR="0012663B" w:rsidRPr="000C25FB" w:rsidRDefault="000C25FB" w:rsidP="00700843">
            <w:pPr>
              <w:jc w:val="right"/>
              <w:rPr>
                <w:sz w:val="20"/>
              </w:rPr>
            </w:pPr>
            <w:r w:rsidRPr="000C25FB">
              <w:rPr>
                <w:sz w:val="20"/>
              </w:rPr>
              <w:t>0,0</w:t>
            </w:r>
          </w:p>
        </w:tc>
      </w:tr>
      <w:tr w:rsidR="0012663B" w:rsidTr="0012663B">
        <w:tc>
          <w:tcPr>
            <w:tcW w:w="4562" w:type="dxa"/>
            <w:shd w:val="clear" w:color="auto" w:fill="F0E1CD"/>
          </w:tcPr>
          <w:p w:rsidR="0012663B" w:rsidRPr="005F41AA" w:rsidRDefault="0012663B" w:rsidP="0026170B">
            <w:pPr>
              <w:rPr>
                <w:b/>
                <w:sz w:val="20"/>
              </w:rPr>
            </w:pPr>
            <w:r w:rsidRPr="005F41AA">
              <w:rPr>
                <w:b/>
                <w:sz w:val="20"/>
              </w:rPr>
              <w:t>Systemiskhed</w:t>
            </w:r>
          </w:p>
        </w:tc>
        <w:tc>
          <w:tcPr>
            <w:tcW w:w="508" w:type="dxa"/>
            <w:shd w:val="clear" w:color="auto" w:fill="F0E1CD"/>
          </w:tcPr>
          <w:p w:rsidR="0012663B" w:rsidRPr="00493F9A" w:rsidRDefault="0012663B" w:rsidP="0026170B">
            <w:pPr>
              <w:jc w:val="right"/>
              <w:rPr>
                <w:sz w:val="20"/>
              </w:rPr>
            </w:pPr>
          </w:p>
        </w:tc>
        <w:tc>
          <w:tcPr>
            <w:tcW w:w="2268" w:type="dxa"/>
            <w:shd w:val="clear" w:color="auto" w:fill="F0E1CD"/>
            <w:vAlign w:val="center"/>
          </w:tcPr>
          <w:p w:rsidR="0012663B" w:rsidRPr="000C25FB" w:rsidRDefault="00041591" w:rsidP="0026170B">
            <w:pPr>
              <w:jc w:val="right"/>
              <w:rPr>
                <w:b/>
                <w:sz w:val="20"/>
              </w:rPr>
            </w:pPr>
            <w:r w:rsidRPr="000C25FB">
              <w:rPr>
                <w:b/>
                <w:sz w:val="20"/>
              </w:rPr>
              <w:t>6,0</w:t>
            </w:r>
          </w:p>
        </w:tc>
      </w:tr>
    </w:tbl>
    <w:p w:rsidR="0012663B" w:rsidRDefault="0012663B" w:rsidP="0012663B">
      <w:pPr>
        <w:rPr>
          <w:rFonts w:ascii="Constantia" w:hAnsi="Constantia"/>
          <w:b/>
          <w:sz w:val="22"/>
        </w:rPr>
      </w:pPr>
    </w:p>
    <w:p w:rsidR="0012663B" w:rsidRDefault="0012663B" w:rsidP="0012663B">
      <w:pPr>
        <w:rPr>
          <w:rFonts w:ascii="Constantia" w:hAnsi="Constantia"/>
          <w:b/>
          <w:sz w:val="22"/>
        </w:rPr>
      </w:pPr>
      <w:r>
        <w:t>På baggrund af beregningen af systemiskheden indp</w:t>
      </w:r>
      <w:r w:rsidR="003B3709">
        <w:t>laceres instituttet i kategori</w:t>
      </w:r>
      <w:r>
        <w:t xml:space="preserve"> af systemiskhed, jf. § 308, stk. 7, i lov om finansiel virksomhed. </w:t>
      </w:r>
      <w:r w:rsidR="009913A2">
        <w:t xml:space="preserve">Nordea </w:t>
      </w:r>
      <w:r w:rsidR="00041591">
        <w:t xml:space="preserve">Kredit Realkreditaktieselskab </w:t>
      </w:r>
      <w:r>
        <w:t xml:space="preserve">indplaceres i kategori </w:t>
      </w:r>
      <w:r w:rsidR="00041591">
        <w:t>2</w:t>
      </w:r>
      <w:r>
        <w:t>, jf. nedenstående tabel.</w:t>
      </w:r>
    </w:p>
    <w:p w:rsidR="0012663B" w:rsidRPr="00FE419C" w:rsidRDefault="0012663B" w:rsidP="0012663B">
      <w:pPr>
        <w:rPr>
          <w:rFonts w:ascii="Constantia" w:hAnsi="Constantia"/>
          <w:b/>
          <w:sz w:val="22"/>
        </w:rPr>
      </w:pPr>
    </w:p>
    <w:p w:rsidR="0012663B" w:rsidRPr="00FE419C" w:rsidRDefault="0012663B" w:rsidP="0012663B">
      <w:pPr>
        <w:rPr>
          <w:rFonts w:ascii="Constantia" w:hAnsi="Constantia"/>
          <w:b/>
          <w:sz w:val="22"/>
        </w:rPr>
      </w:pPr>
      <w:r w:rsidRPr="00FE419C">
        <w:rPr>
          <w:rFonts w:ascii="Constantia" w:hAnsi="Constantia"/>
          <w:b/>
          <w:sz w:val="22"/>
        </w:rPr>
        <w:t>Kategorier af systemiskhed</w:t>
      </w:r>
    </w:p>
    <w:tbl>
      <w:tblPr>
        <w:tblStyle w:val="Tabel-Gitter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CellMar>
          <w:top w:w="57" w:type="dxa"/>
          <w:bottom w:w="57" w:type="dxa"/>
          <w:right w:w="284" w:type="dxa"/>
        </w:tblCellMar>
        <w:tblLook w:val="04A0" w:firstRow="1" w:lastRow="0" w:firstColumn="1" w:lastColumn="0" w:noHBand="0" w:noVBand="1"/>
      </w:tblPr>
      <w:tblGrid>
        <w:gridCol w:w="1951"/>
        <w:gridCol w:w="1701"/>
      </w:tblGrid>
      <w:tr w:rsidR="0012663B" w:rsidTr="0026170B">
        <w:tc>
          <w:tcPr>
            <w:tcW w:w="1951" w:type="dxa"/>
            <w:tcBorders>
              <w:bottom w:val="single" w:sz="8" w:space="0" w:color="808080" w:themeColor="background1" w:themeShade="80"/>
            </w:tcBorders>
          </w:tcPr>
          <w:p w:rsidR="0012663B" w:rsidRPr="00FE419C" w:rsidRDefault="0012663B" w:rsidP="0026170B">
            <w:pPr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8" w:space="0" w:color="808080" w:themeColor="background1" w:themeShade="80"/>
            </w:tcBorders>
            <w:vAlign w:val="center"/>
          </w:tcPr>
          <w:p w:rsidR="0012663B" w:rsidRPr="00BD271B" w:rsidRDefault="0012663B" w:rsidP="0026170B">
            <w:pPr>
              <w:jc w:val="center"/>
              <w:rPr>
                <w:i/>
              </w:rPr>
            </w:pPr>
            <w:r w:rsidRPr="00BD271B">
              <w:rPr>
                <w:i/>
              </w:rPr>
              <w:t>Systemiskhed</w:t>
            </w:r>
          </w:p>
        </w:tc>
      </w:tr>
      <w:tr w:rsidR="0012663B" w:rsidTr="0026170B">
        <w:tc>
          <w:tcPr>
            <w:tcW w:w="1951" w:type="dxa"/>
            <w:tcBorders>
              <w:bottom w:val="single" w:sz="8" w:space="0" w:color="808080" w:themeColor="background1" w:themeShade="80"/>
            </w:tcBorders>
          </w:tcPr>
          <w:p w:rsidR="0012663B" w:rsidRPr="00493F9A" w:rsidRDefault="0012663B" w:rsidP="0026170B">
            <w:pPr>
              <w:rPr>
                <w:i/>
                <w:sz w:val="20"/>
              </w:rPr>
            </w:pPr>
            <w:r w:rsidRPr="00FE419C">
              <w:rPr>
                <w:sz w:val="20"/>
              </w:rPr>
              <w:t>Kategori 1</w:t>
            </w:r>
          </w:p>
        </w:tc>
        <w:tc>
          <w:tcPr>
            <w:tcW w:w="1701" w:type="dxa"/>
            <w:tcBorders>
              <w:bottom w:val="single" w:sz="8" w:space="0" w:color="808080" w:themeColor="background1" w:themeShade="80"/>
            </w:tcBorders>
            <w:vAlign w:val="center"/>
          </w:tcPr>
          <w:p w:rsidR="0012663B" w:rsidRPr="00476E72" w:rsidRDefault="0012663B" w:rsidP="0026170B">
            <w:pPr>
              <w:jc w:val="center"/>
            </w:pPr>
            <w:r w:rsidRPr="00476E72">
              <w:t>≤ 5</w:t>
            </w:r>
          </w:p>
        </w:tc>
      </w:tr>
      <w:tr w:rsidR="0012663B" w:rsidTr="0026170B">
        <w:trPr>
          <w:trHeight w:val="136"/>
        </w:trPr>
        <w:tc>
          <w:tcPr>
            <w:tcW w:w="1951" w:type="dxa"/>
            <w:tcBorders>
              <w:top w:val="single" w:sz="8" w:space="0" w:color="808080" w:themeColor="background1" w:themeShade="80"/>
            </w:tcBorders>
          </w:tcPr>
          <w:p w:rsidR="0012663B" w:rsidRDefault="0012663B" w:rsidP="0026170B">
            <w:r w:rsidRPr="00EC7627">
              <w:rPr>
                <w:sz w:val="20"/>
              </w:rPr>
              <w:t xml:space="preserve">Kategori </w:t>
            </w:r>
            <w:r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</w:tcBorders>
            <w:vAlign w:val="center"/>
          </w:tcPr>
          <w:p w:rsidR="0012663B" w:rsidRPr="00476E72" w:rsidRDefault="0012663B" w:rsidP="0026170B">
            <w:pPr>
              <w:jc w:val="center"/>
            </w:pPr>
            <w:r w:rsidRPr="00476E72">
              <w:t>[5-15[</w:t>
            </w:r>
          </w:p>
        </w:tc>
      </w:tr>
      <w:tr w:rsidR="0012663B" w:rsidTr="0026170B">
        <w:trPr>
          <w:trHeight w:val="204"/>
        </w:trPr>
        <w:tc>
          <w:tcPr>
            <w:tcW w:w="1951" w:type="dxa"/>
          </w:tcPr>
          <w:p w:rsidR="0012663B" w:rsidRDefault="0012663B" w:rsidP="0026170B">
            <w:r>
              <w:rPr>
                <w:sz w:val="20"/>
              </w:rPr>
              <w:t>Kategori 3</w:t>
            </w:r>
          </w:p>
        </w:tc>
        <w:tc>
          <w:tcPr>
            <w:tcW w:w="1701" w:type="dxa"/>
            <w:vAlign w:val="center"/>
          </w:tcPr>
          <w:p w:rsidR="0012663B" w:rsidRPr="00476E72" w:rsidRDefault="0012663B" w:rsidP="0026170B">
            <w:pPr>
              <w:jc w:val="center"/>
            </w:pPr>
            <w:r w:rsidRPr="00476E72">
              <w:t>[15-25[</w:t>
            </w:r>
          </w:p>
        </w:tc>
      </w:tr>
      <w:tr w:rsidR="0012663B" w:rsidTr="0026170B">
        <w:tc>
          <w:tcPr>
            <w:tcW w:w="1951" w:type="dxa"/>
          </w:tcPr>
          <w:p w:rsidR="0012663B" w:rsidRDefault="0012663B" w:rsidP="0026170B">
            <w:r>
              <w:rPr>
                <w:sz w:val="20"/>
              </w:rPr>
              <w:t>Kategori 4</w:t>
            </w:r>
          </w:p>
        </w:tc>
        <w:tc>
          <w:tcPr>
            <w:tcW w:w="1701" w:type="dxa"/>
            <w:vAlign w:val="center"/>
          </w:tcPr>
          <w:p w:rsidR="0012663B" w:rsidRPr="00476E72" w:rsidRDefault="0012663B" w:rsidP="0026170B">
            <w:pPr>
              <w:jc w:val="center"/>
            </w:pPr>
            <w:r w:rsidRPr="00476E72">
              <w:t>[25-35[</w:t>
            </w:r>
          </w:p>
        </w:tc>
      </w:tr>
      <w:tr w:rsidR="0012663B" w:rsidTr="0026170B">
        <w:tc>
          <w:tcPr>
            <w:tcW w:w="1951" w:type="dxa"/>
          </w:tcPr>
          <w:p w:rsidR="0012663B" w:rsidRDefault="0012663B" w:rsidP="0026170B">
            <w:pPr>
              <w:rPr>
                <w:sz w:val="20"/>
              </w:rPr>
            </w:pPr>
            <w:r>
              <w:rPr>
                <w:sz w:val="20"/>
              </w:rPr>
              <w:t>Kategori 5</w:t>
            </w:r>
          </w:p>
        </w:tc>
        <w:tc>
          <w:tcPr>
            <w:tcW w:w="1701" w:type="dxa"/>
            <w:vAlign w:val="center"/>
          </w:tcPr>
          <w:p w:rsidR="0012663B" w:rsidRDefault="0012663B" w:rsidP="0026170B">
            <w:pPr>
              <w:jc w:val="center"/>
            </w:pPr>
            <w:r w:rsidRPr="00476E72">
              <w:t>≥ 35</w:t>
            </w:r>
          </w:p>
        </w:tc>
      </w:tr>
    </w:tbl>
    <w:p w:rsidR="0012663B" w:rsidRPr="00162184" w:rsidRDefault="0012663B" w:rsidP="0012663B"/>
    <w:p w:rsidR="002A3CAE" w:rsidRDefault="002A3CAE" w:rsidP="00BF1DFF"/>
    <w:p w:rsidR="00163A8D" w:rsidRDefault="00163A8D">
      <w:pPr>
        <w:pStyle w:val="Brdtekst"/>
      </w:pPr>
    </w:p>
    <w:p w:rsidR="00331EDD" w:rsidRDefault="00331EDD">
      <w:pPr>
        <w:pStyle w:val="Brdtekst"/>
      </w:pPr>
    </w:p>
    <w:sectPr w:rsidR="00331EDD" w:rsidSect="002779D0">
      <w:headerReference w:type="default" r:id="rId8"/>
      <w:headerReference w:type="first" r:id="rId9"/>
      <w:pgSz w:w="11906" w:h="16838" w:code="9"/>
      <w:pgMar w:top="2325" w:right="3686" w:bottom="1418" w:left="1106" w:header="624" w:footer="567" w:gutter="0"/>
      <w:paperSrc w:first="11" w:other="1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2E5" w:rsidRDefault="00CD42E5">
      <w:pPr>
        <w:spacing w:line="240" w:lineRule="auto"/>
      </w:pPr>
      <w:r>
        <w:separator/>
      </w:r>
    </w:p>
  </w:endnote>
  <w:endnote w:type="continuationSeparator" w:id="0">
    <w:p w:rsidR="00CD42E5" w:rsidRDefault="00CD4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2E5" w:rsidRDefault="00CD42E5">
      <w:pPr>
        <w:spacing w:line="240" w:lineRule="auto"/>
      </w:pPr>
      <w:r>
        <w:separator/>
      </w:r>
    </w:p>
  </w:footnote>
  <w:footnote w:type="continuationSeparator" w:id="0">
    <w:p w:rsidR="00CD42E5" w:rsidRDefault="00CD42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A8D" w:rsidRDefault="00C12726">
    <w:pPr>
      <w:framePr w:w="1531" w:h="851" w:wrap="around" w:vAnchor="page" w:hAnchor="page" w:x="9186" w:y="721"/>
    </w:pPr>
    <w:r>
      <w:rPr>
        <w:rStyle w:val="Sidetal"/>
      </w:rPr>
      <w:fldChar w:fldCharType="begin"/>
    </w:r>
    <w:r w:rsidR="00163A8D"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5240C3">
      <w:rPr>
        <w:rStyle w:val="Sidetal"/>
        <w:noProof/>
      </w:rPr>
      <w:t>2</w:t>
    </w:r>
    <w:r>
      <w:rPr>
        <w:rStyle w:val="Sidetal"/>
      </w:rPr>
      <w:fldChar w:fldCharType="end"/>
    </w:r>
    <w:r w:rsidR="00163A8D">
      <w:rPr>
        <w:rStyle w:val="Sidetal"/>
      </w:rPr>
      <w:t>/</w:t>
    </w:r>
    <w:r>
      <w:rPr>
        <w:rStyle w:val="Sidetal"/>
      </w:rPr>
      <w:fldChar w:fldCharType="begin"/>
    </w:r>
    <w:r w:rsidR="00163A8D"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5240C3">
      <w:rPr>
        <w:rStyle w:val="Sidetal"/>
        <w:noProof/>
      </w:rPr>
      <w:t>2</w:t>
    </w:r>
    <w:r>
      <w:rPr>
        <w:rStyle w:val="Sidetal"/>
      </w:rPr>
      <w:fldChar w:fldCharType="end"/>
    </w:r>
  </w:p>
  <w:p w:rsidR="00163A8D" w:rsidRDefault="00163A8D">
    <w:pPr>
      <w:framePr w:w="1531" w:h="851" w:wrap="around" w:vAnchor="page" w:hAnchor="page" w:x="9186" w:y="721"/>
    </w:pPr>
  </w:p>
  <w:p w:rsidR="00163A8D" w:rsidRDefault="00163A8D">
    <w:pPr>
      <w:framePr w:w="1531" w:h="851" w:wrap="around" w:vAnchor="page" w:hAnchor="page" w:x="9186" w:y="721"/>
    </w:pPr>
  </w:p>
  <w:p w:rsidR="00163A8D" w:rsidRDefault="00163A8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A8D" w:rsidRDefault="00CD5C1F">
    <w:pPr>
      <w:pStyle w:val="Sidehoved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DAF7E9D" wp14:editId="20991438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2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C9E"/>
    <w:multiLevelType w:val="multilevel"/>
    <w:tmpl w:val="B4443E96"/>
    <w:lvl w:ilvl="0">
      <w:start w:val="1"/>
      <w:numFmt w:val="decimal"/>
      <w:pStyle w:val="Underoverskrift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3C7D2F"/>
    <w:multiLevelType w:val="hybridMultilevel"/>
    <w:tmpl w:val="7B14156E"/>
    <w:lvl w:ilvl="0" w:tplc="91284876">
      <w:start w:val="1"/>
      <w:numFmt w:val="bullet"/>
      <w:pStyle w:val="Listeafsnit"/>
      <w:lvlText w:val=""/>
      <w:lvlJc w:val="left"/>
      <w:pPr>
        <w:ind w:left="144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2C0E20"/>
    <w:multiLevelType w:val="hybridMultilevel"/>
    <w:tmpl w:val="DE68F320"/>
    <w:lvl w:ilvl="0" w:tplc="A1ACD74E">
      <w:start w:val="1"/>
      <w:numFmt w:val="lowerLetter"/>
      <w:pStyle w:val="ListeBogstav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287A84"/>
    <w:multiLevelType w:val="hybridMultilevel"/>
    <w:tmpl w:val="BBB49F4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E53794"/>
    <w:multiLevelType w:val="hybridMultilevel"/>
    <w:tmpl w:val="308E1D24"/>
    <w:lvl w:ilvl="0" w:tplc="3E0CC88A">
      <w:start w:val="1"/>
      <w:numFmt w:val="decimal"/>
      <w:pStyle w:val="ListeT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842BAA"/>
    <w:multiLevelType w:val="singleLevel"/>
    <w:tmpl w:val="F7005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Initialer" w:val="Empty"/>
    <w:docVar w:name="Kontor" w:val="Empty"/>
    <w:docVar w:name="PCAdato" w:val="Empty"/>
    <w:docVar w:name="PCAmodtager" w:val="Empty"/>
    <w:docVar w:name="PCAoverskrift" w:val="Empty"/>
    <w:docVar w:name="PCASag" w:val="Empty"/>
    <w:docVar w:name="PCAStart" w:val="Empty"/>
  </w:docVars>
  <w:rsids>
    <w:rsidRoot w:val="00BF1DFF"/>
    <w:rsid w:val="00022409"/>
    <w:rsid w:val="0002744C"/>
    <w:rsid w:val="00041591"/>
    <w:rsid w:val="00057B96"/>
    <w:rsid w:val="00090A99"/>
    <w:rsid w:val="000961B1"/>
    <w:rsid w:val="000A3975"/>
    <w:rsid w:val="000C0183"/>
    <w:rsid w:val="000C0E2C"/>
    <w:rsid w:val="000C13A3"/>
    <w:rsid w:val="000C25FB"/>
    <w:rsid w:val="000C4A68"/>
    <w:rsid w:val="00120388"/>
    <w:rsid w:val="0012663B"/>
    <w:rsid w:val="00162D02"/>
    <w:rsid w:val="00163A8D"/>
    <w:rsid w:val="001E4A6B"/>
    <w:rsid w:val="001F7B01"/>
    <w:rsid w:val="002255B0"/>
    <w:rsid w:val="00230D73"/>
    <w:rsid w:val="0025307D"/>
    <w:rsid w:val="00260676"/>
    <w:rsid w:val="002779D0"/>
    <w:rsid w:val="00290DA0"/>
    <w:rsid w:val="002958B1"/>
    <w:rsid w:val="002A0B06"/>
    <w:rsid w:val="002A3CAE"/>
    <w:rsid w:val="002A499B"/>
    <w:rsid w:val="002A599E"/>
    <w:rsid w:val="002E6F9A"/>
    <w:rsid w:val="002F13A8"/>
    <w:rsid w:val="00305117"/>
    <w:rsid w:val="00331EDD"/>
    <w:rsid w:val="00376801"/>
    <w:rsid w:val="00392401"/>
    <w:rsid w:val="003B0BDE"/>
    <w:rsid w:val="003B3709"/>
    <w:rsid w:val="003E02B7"/>
    <w:rsid w:val="003E3B9B"/>
    <w:rsid w:val="003E4349"/>
    <w:rsid w:val="00422F5C"/>
    <w:rsid w:val="004248DB"/>
    <w:rsid w:val="0042503D"/>
    <w:rsid w:val="0044286B"/>
    <w:rsid w:val="004C1490"/>
    <w:rsid w:val="004D7F2E"/>
    <w:rsid w:val="00502AE1"/>
    <w:rsid w:val="005240C3"/>
    <w:rsid w:val="005439BC"/>
    <w:rsid w:val="00586C74"/>
    <w:rsid w:val="005A0B3D"/>
    <w:rsid w:val="005A2820"/>
    <w:rsid w:val="005A675E"/>
    <w:rsid w:val="005B2C04"/>
    <w:rsid w:val="0063728A"/>
    <w:rsid w:val="006402B5"/>
    <w:rsid w:val="006649E8"/>
    <w:rsid w:val="006724DD"/>
    <w:rsid w:val="00673B3F"/>
    <w:rsid w:val="00683DE8"/>
    <w:rsid w:val="006C3314"/>
    <w:rsid w:val="006C7261"/>
    <w:rsid w:val="006F510B"/>
    <w:rsid w:val="00700253"/>
    <w:rsid w:val="00700843"/>
    <w:rsid w:val="00703E18"/>
    <w:rsid w:val="007516F0"/>
    <w:rsid w:val="00781273"/>
    <w:rsid w:val="007E5F37"/>
    <w:rsid w:val="008824EC"/>
    <w:rsid w:val="00892422"/>
    <w:rsid w:val="008E069C"/>
    <w:rsid w:val="008E547C"/>
    <w:rsid w:val="00904F2B"/>
    <w:rsid w:val="00907B69"/>
    <w:rsid w:val="00911391"/>
    <w:rsid w:val="00931250"/>
    <w:rsid w:val="00941D49"/>
    <w:rsid w:val="0095290F"/>
    <w:rsid w:val="009913A2"/>
    <w:rsid w:val="009B5824"/>
    <w:rsid w:val="009C70F7"/>
    <w:rsid w:val="009F34E4"/>
    <w:rsid w:val="00A30B33"/>
    <w:rsid w:val="00A34A5A"/>
    <w:rsid w:val="00A64D6C"/>
    <w:rsid w:val="00AA185B"/>
    <w:rsid w:val="00AB55C5"/>
    <w:rsid w:val="00AD51E1"/>
    <w:rsid w:val="00B23B9D"/>
    <w:rsid w:val="00B457BF"/>
    <w:rsid w:val="00B46BF9"/>
    <w:rsid w:val="00B57A46"/>
    <w:rsid w:val="00B64984"/>
    <w:rsid w:val="00B93B42"/>
    <w:rsid w:val="00BA155F"/>
    <w:rsid w:val="00BA2345"/>
    <w:rsid w:val="00BC55AB"/>
    <w:rsid w:val="00BF1DFF"/>
    <w:rsid w:val="00BF501F"/>
    <w:rsid w:val="00BF6D33"/>
    <w:rsid w:val="00C00686"/>
    <w:rsid w:val="00C12726"/>
    <w:rsid w:val="00C353A0"/>
    <w:rsid w:val="00C5465E"/>
    <w:rsid w:val="00C56974"/>
    <w:rsid w:val="00C868F7"/>
    <w:rsid w:val="00CD42E5"/>
    <w:rsid w:val="00CD5C1F"/>
    <w:rsid w:val="00CF4780"/>
    <w:rsid w:val="00CF50F9"/>
    <w:rsid w:val="00D02336"/>
    <w:rsid w:val="00D10F7C"/>
    <w:rsid w:val="00D54E02"/>
    <w:rsid w:val="00D650D6"/>
    <w:rsid w:val="00D963D7"/>
    <w:rsid w:val="00DA6852"/>
    <w:rsid w:val="00DB1666"/>
    <w:rsid w:val="00E2456A"/>
    <w:rsid w:val="00E273B0"/>
    <w:rsid w:val="00E34E1B"/>
    <w:rsid w:val="00E44B59"/>
    <w:rsid w:val="00E67373"/>
    <w:rsid w:val="00E77975"/>
    <w:rsid w:val="00EC3FFA"/>
    <w:rsid w:val="00F538F2"/>
    <w:rsid w:val="00F9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01DFC830"/>
  <w15:docId w15:val="{0BDD4EB7-5AFC-4B92-B272-1D0F963F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56A"/>
    <w:pPr>
      <w:spacing w:line="280" w:lineRule="exact"/>
      <w:jc w:val="both"/>
    </w:pPr>
    <w:rPr>
      <w:rFonts w:ascii="Arial" w:hAnsi="Arial"/>
      <w:sz w:val="21"/>
    </w:rPr>
  </w:style>
  <w:style w:type="paragraph" w:styleId="Overskrift1">
    <w:name w:val="heading 1"/>
    <w:basedOn w:val="Normal"/>
    <w:next w:val="Brdtekst"/>
    <w:qFormat/>
    <w:rsid w:val="00907B69"/>
    <w:pPr>
      <w:keepNext/>
      <w:spacing w:line="480" w:lineRule="exact"/>
      <w:outlineLvl w:val="0"/>
    </w:pPr>
    <w:rPr>
      <w:rFonts w:ascii="Constantia" w:hAnsi="Constantia"/>
      <w:b/>
      <w:color w:val="990000"/>
      <w:sz w:val="32"/>
    </w:rPr>
  </w:style>
  <w:style w:type="paragraph" w:styleId="Overskrift2">
    <w:name w:val="heading 2"/>
    <w:basedOn w:val="Normal"/>
    <w:next w:val="Normal"/>
    <w:link w:val="Overskrift2Tegn"/>
    <w:qFormat/>
    <w:rsid w:val="00586C74"/>
    <w:pPr>
      <w:keepNext/>
      <w:keepLines/>
      <w:spacing w:before="280" w:after="140"/>
      <w:outlineLvl w:val="1"/>
    </w:pPr>
    <w:rPr>
      <w:rFonts w:ascii="Constantia" w:eastAsiaTheme="majorEastAsia" w:hAnsi="Constantia" w:cstheme="majorBidi"/>
      <w:b/>
      <w:bCs/>
      <w:color w:val="000000" w:themeColor="text1"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rsid w:val="00E44B59"/>
    <w:pPr>
      <w:framePr w:w="2268" w:h="7370" w:hSpace="141" w:wrap="around" w:hAnchor="page" w:x="9270" w:anchorLock="1"/>
    </w:pPr>
    <w:rPr>
      <w:sz w:val="15"/>
    </w:rPr>
  </w:style>
  <w:style w:type="paragraph" w:customStyle="1" w:styleId="diverse">
    <w:name w:val="diverse"/>
    <w:basedOn w:val="Normal"/>
    <w:rsid w:val="00E44B59"/>
    <w:rPr>
      <w:sz w:val="18"/>
    </w:rPr>
  </w:style>
  <w:style w:type="character" w:styleId="Sidetal">
    <w:name w:val="page number"/>
    <w:basedOn w:val="Standardskrifttypeiafsnit"/>
    <w:rsid w:val="00E44B59"/>
  </w:style>
  <w:style w:type="paragraph" w:customStyle="1" w:styleId="datomv">
    <w:name w:val="datomv"/>
    <w:basedOn w:val="skakt"/>
    <w:rsid w:val="00E44B59"/>
    <w:pPr>
      <w:framePr w:w="0" w:hRule="auto" w:hSpace="142" w:wrap="around" w:vAnchor="text" w:hAnchor="text" w:x="9073" w:y="1"/>
    </w:pPr>
    <w:rPr>
      <w:rFonts w:ascii="Times New Roman" w:hAnsi="Times New Roman"/>
      <w:sz w:val="24"/>
    </w:rPr>
  </w:style>
  <w:style w:type="paragraph" w:styleId="Sidehoved">
    <w:name w:val="header"/>
    <w:basedOn w:val="Normal"/>
    <w:rsid w:val="00E44B59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  <w:rsid w:val="00E44B59"/>
  </w:style>
  <w:style w:type="paragraph" w:styleId="Sidefod">
    <w:name w:val="footer"/>
    <w:basedOn w:val="Normal"/>
    <w:rsid w:val="00331EDD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paragraph" w:customStyle="1" w:styleId="Enhed">
    <w:name w:val="Enhed"/>
    <w:basedOn w:val="Normal"/>
    <w:rsid w:val="00E44B59"/>
    <w:pPr>
      <w:framePr w:h="454" w:hRule="exact" w:wrap="around" w:vAnchor="page" w:hAnchor="page" w:x="9186" w:y="1702"/>
    </w:pPr>
    <w:rPr>
      <w:b/>
      <w:caps/>
      <w:sz w:val="15"/>
    </w:rPr>
  </w:style>
  <w:style w:type="paragraph" w:styleId="Brdtekst">
    <w:name w:val="Body Text"/>
    <w:basedOn w:val="Normal"/>
    <w:rsid w:val="00CF478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D5C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D5C1F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rsid w:val="00586C74"/>
    <w:rPr>
      <w:rFonts w:ascii="Constantia" w:eastAsiaTheme="majorEastAsia" w:hAnsi="Constantia" w:cstheme="majorBidi"/>
      <w:b/>
      <w:bCs/>
      <w:color w:val="000000" w:themeColor="text1"/>
      <w:sz w:val="22"/>
      <w:szCs w:val="26"/>
    </w:rPr>
  </w:style>
  <w:style w:type="paragraph" w:styleId="Listeafsnit">
    <w:name w:val="List Paragraph"/>
    <w:basedOn w:val="Normal"/>
    <w:uiPriority w:val="1"/>
    <w:qFormat/>
    <w:rsid w:val="00586C74"/>
    <w:pPr>
      <w:numPr>
        <w:numId w:val="3"/>
      </w:numPr>
      <w:ind w:left="426" w:hanging="426"/>
      <w:contextualSpacing/>
    </w:pPr>
  </w:style>
  <w:style w:type="paragraph" w:customStyle="1" w:styleId="Underoverskrift">
    <w:name w:val="Underoverskrift"/>
    <w:basedOn w:val="Overskrift2"/>
    <w:next w:val="Normal"/>
    <w:qFormat/>
    <w:rsid w:val="00586C74"/>
    <w:pPr>
      <w:numPr>
        <w:numId w:val="6"/>
      </w:numPr>
    </w:pPr>
  </w:style>
  <w:style w:type="paragraph" w:customStyle="1" w:styleId="ListeTal">
    <w:name w:val="ListeTal"/>
    <w:basedOn w:val="Listeafsnit"/>
    <w:uiPriority w:val="1"/>
    <w:qFormat/>
    <w:rsid w:val="00586C74"/>
    <w:pPr>
      <w:numPr>
        <w:numId w:val="5"/>
      </w:numPr>
      <w:ind w:left="426" w:hanging="426"/>
    </w:pPr>
  </w:style>
  <w:style w:type="paragraph" w:customStyle="1" w:styleId="ListeBogstaver">
    <w:name w:val="ListeBogstaver"/>
    <w:basedOn w:val="Listeafsnit"/>
    <w:uiPriority w:val="1"/>
    <w:qFormat/>
    <w:rsid w:val="00586C74"/>
    <w:pPr>
      <w:numPr>
        <w:numId w:val="4"/>
      </w:numPr>
      <w:ind w:left="426" w:hanging="426"/>
    </w:pPr>
  </w:style>
  <w:style w:type="paragraph" w:styleId="Fodnotetekst">
    <w:name w:val="footnote text"/>
    <w:basedOn w:val="Normal"/>
    <w:link w:val="FodnotetekstTegn"/>
    <w:uiPriority w:val="2"/>
    <w:qFormat/>
    <w:rsid w:val="00E2456A"/>
    <w:pPr>
      <w:spacing w:line="360" w:lineRule="auto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"/>
    <w:rsid w:val="00E2456A"/>
    <w:rPr>
      <w:rFonts w:ascii="Arial" w:hAnsi="Arial"/>
      <w:sz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2456A"/>
    <w:rPr>
      <w:vertAlign w:val="superscript"/>
    </w:rPr>
  </w:style>
  <w:style w:type="table" w:styleId="Tabel-Gitter">
    <w:name w:val="Table Grid"/>
    <w:basedOn w:val="Tabel-Normal"/>
    <w:uiPriority w:val="59"/>
    <w:rsid w:val="00BF1DFF"/>
    <w:rPr>
      <w:rFonts w:ascii="Arial" w:eastAsiaTheme="minorHAnsi" w:hAnsi="Arial" w:cstheme="minorBidi"/>
      <w:sz w:val="21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E6737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67373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67373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6737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67373"/>
    <w:rPr>
      <w:rFonts w:ascii="Arial" w:hAnsi="Arial"/>
      <w:b/>
      <w:bCs/>
    </w:rPr>
  </w:style>
  <w:style w:type="paragraph" w:styleId="Korrektur">
    <w:name w:val="Revision"/>
    <w:hidden/>
    <w:uiPriority w:val="99"/>
    <w:semiHidden/>
    <w:rsid w:val="00E67373"/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kabeloner\FT-Skabelon\Notat.dotm" TargetMode="Externa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9834C-6D5D-481E-8479-F64A836C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16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</dc:creator>
  <cp:lastModifiedBy>Tina Skotte Sørensen (FT)</cp:lastModifiedBy>
  <cp:revision>6</cp:revision>
  <cp:lastPrinted>2016-06-27T06:31:00Z</cp:lastPrinted>
  <dcterms:created xsi:type="dcterms:W3CDTF">2016-12-22T08:12:00Z</dcterms:created>
  <dcterms:modified xsi:type="dcterms:W3CDTF">2016-12-22T08:28:00Z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/>
  </property>
  <property fmtid="{D5CDD505-2E9C-101B-9397-08002B2CF9AE}" pid="3" name="DocNumber">
    <vt:i4>0</vt:i4>
  </property>
  <property fmtid="{D5CDD505-2E9C-101B-9397-08002B2CF9AE}" pid="4" name="AdrCode">
    <vt:lpwstr/>
  </property>
  <property fmtid="{D5CDD505-2E9C-101B-9397-08002B2CF9AE}" pid="5" name="Modtager">
    <vt:lpwstr/>
  </property>
  <property fmtid="{D5CDD505-2E9C-101B-9397-08002B2CF9AE}" pid="6" name="PDokDato">
    <vt:lpwstr>11. juni 2014</vt:lpwstr>
  </property>
  <property fmtid="{D5CDD505-2E9C-101B-9397-08002B2CF9AE}" pid="7" name="PJournalNr">
    <vt:lpwstr/>
  </property>
  <property fmtid="{D5CDD505-2E9C-101B-9397-08002B2CF9AE}" pid="8" name="PEmne">
    <vt:lpwstr/>
  </property>
  <property fmtid="{D5CDD505-2E9C-101B-9397-08002B2CF9AE}" pid="9" name="PATitle">
    <vt:lpwstr/>
  </property>
  <property fmtid="{D5CDD505-2E9C-101B-9397-08002B2CF9AE}" pid="10" name="PATlf">
    <vt:lpwstr/>
  </property>
  <property fmtid="{D5CDD505-2E9C-101B-9397-08002B2CF9AE}" pid="11" name="PAEmail">
    <vt:lpwstr/>
  </property>
  <property fmtid="{D5CDD505-2E9C-101B-9397-08002B2CF9AE}" pid="12" name="ModtRef">
    <vt:lpwstr/>
  </property>
  <property fmtid="{D5CDD505-2E9C-101B-9397-08002B2CF9AE}" pid="13" name="Initialer">
    <vt:lpwstr>heg</vt:lpwstr>
  </property>
  <property fmtid="{D5CDD505-2E9C-101B-9397-08002B2CF9AE}" pid="14" name="Bilag">
    <vt:i4>0</vt:i4>
  </property>
  <property fmtid="{D5CDD505-2E9C-101B-9397-08002B2CF9AE}" pid="15" name="Kontor">
    <vt:lpwstr/>
  </property>
  <property fmtid="{D5CDD505-2E9C-101B-9397-08002B2CF9AE}" pid="16" name="Diverse">
    <vt:lpwstr/>
  </property>
</Properties>
</file>